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Calibri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2"/>
          <w:szCs w:val="32"/>
        </w:rPr>
        <w:t>附件</w:t>
      </w:r>
      <w:r>
        <w:rPr>
          <w:rFonts w:ascii="方正小标宋简体" w:hAnsi="Calibri" w:eastAsia="方正小标宋简体" w:cs="Times New Roman"/>
          <w:sz w:val="32"/>
          <w:szCs w:val="32"/>
        </w:rPr>
        <w:t>2</w:t>
      </w:r>
    </w:p>
    <w:p>
      <w:pPr>
        <w:jc w:val="left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《</w:t>
      </w:r>
      <w:r>
        <w:rPr>
          <w:rFonts w:hint="eastAsia" w:ascii="方正小标宋简体" w:eastAsia="方正小标宋简体"/>
          <w:sz w:val="36"/>
          <w:szCs w:val="36"/>
        </w:rPr>
        <w:t>帕妥珠单抗注射液生物类似药临床试验指导原则（征求意见稿）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》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起草说明</w:t>
      </w:r>
    </w:p>
    <w:p>
      <w:pPr>
        <w:ind w:firstLine="560" w:firstLineChars="175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为鼓励</w:t>
      </w:r>
      <w:r>
        <w:rPr>
          <w:rFonts w:ascii="仿宋" w:hAnsi="仿宋" w:eastAsia="仿宋" w:cs="Times New Roman"/>
          <w:color w:val="000000"/>
          <w:sz w:val="32"/>
          <w:szCs w:val="32"/>
        </w:rPr>
        <w:t>生物类似药研发，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进一步规范和指导帕妥珠</w:t>
      </w:r>
      <w:r>
        <w:rPr>
          <w:rFonts w:ascii="仿宋" w:hAnsi="仿宋" w:eastAsia="仿宋" w:cs="Times New Roman"/>
          <w:sz w:val="32"/>
          <w:szCs w:val="32"/>
        </w:rPr>
        <w:t>单抗生物类似物</w:t>
      </w:r>
      <w:r>
        <w:rPr>
          <w:rFonts w:hint="eastAsia" w:ascii="仿宋" w:hAnsi="仿宋" w:eastAsia="仿宋" w:cs="Times New Roman"/>
          <w:sz w:val="32"/>
          <w:szCs w:val="32"/>
        </w:rPr>
        <w:t>的临床试验设计</w:t>
      </w:r>
      <w:r>
        <w:rPr>
          <w:rFonts w:ascii="仿宋" w:hAnsi="仿宋" w:eastAsia="仿宋" w:cs="Times New Roman"/>
          <w:sz w:val="32"/>
          <w:szCs w:val="32"/>
        </w:rPr>
        <w:t>和终点选择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，提供可参考的技术规范，药品审评中心组织起草了《帕妥珠单抗注射液生物类似药临床试验指导原则（征求意见稿）》。现将有关情况说明如下：</w:t>
      </w:r>
    </w:p>
    <w:p>
      <w:pPr>
        <w:ind w:firstLine="630" w:firstLineChars="196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一、背景和目的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帕妥珠单抗是一种靶向人表皮生长因子受体2蛋白（HER2）的人源化单克隆抗体（IgG1亚型），通过与HER2受体二聚化表位结合，阻断HER2与HER2之间以及HER2与其他HER家族受体之间的二聚化作用，阻断细胞周期并诱导凋亡。本品由罗氏公司研发上市，目前国内外尚无帕妥珠单抗生物类似物获批，国外也无可参考的单品种指导原则。多家国内制药企业均在开展帕妥珠单抗生物类似药的研发，因此现阶段需明确和统一中国帕妥珠单抗生物类似药临床试验要求。药品审评中心组织起草了《帕妥珠单抗注射液生物类似药临床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试验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指导原则（征求意见稿）》。</w:t>
      </w:r>
    </w:p>
    <w:p>
      <w:pPr>
        <w:numPr>
          <w:ilvl w:val="0"/>
          <w:numId w:val="1"/>
        </w:numPr>
        <w:ind w:firstLine="643" w:firstLineChars="200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起草过程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本指导原则</w:t>
      </w:r>
      <w:r>
        <w:rPr>
          <w:rFonts w:ascii="仿宋" w:hAnsi="仿宋" w:eastAsia="仿宋" w:cs="Times New Roman"/>
          <w:color w:val="000000"/>
          <w:sz w:val="32"/>
          <w:szCs w:val="32"/>
        </w:rPr>
        <w:t>由化药临床一部牵头，统计与临床药理学部和生物制品药学部参与撰写。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本项</w:t>
      </w:r>
      <w:r>
        <w:rPr>
          <w:rFonts w:ascii="仿宋" w:hAnsi="仿宋" w:eastAsia="仿宋" w:cs="Times New Roman"/>
          <w:color w:val="000000"/>
          <w:sz w:val="32"/>
          <w:szCs w:val="32"/>
        </w:rPr>
        <w:t>工作自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20</w:t>
      </w:r>
      <w:r>
        <w:rPr>
          <w:rFonts w:ascii="仿宋" w:hAnsi="仿宋" w:eastAsia="仿宋" w:cs="Times New Roman"/>
          <w:color w:val="000000"/>
          <w:sz w:val="32"/>
          <w:szCs w:val="32"/>
        </w:rPr>
        <w:t>20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</w:t>
      </w:r>
      <w:r>
        <w:rPr>
          <w:rFonts w:ascii="仿宋" w:hAnsi="仿宋" w:eastAsia="仿宋" w:cs="Times New Roman"/>
          <w:color w:val="000000"/>
          <w:sz w:val="32"/>
          <w:szCs w:val="32"/>
        </w:rPr>
        <w:t>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ascii="仿宋" w:hAnsi="仿宋" w:eastAsia="仿宋" w:cs="Times New Roman"/>
          <w:color w:val="000000"/>
          <w:sz w:val="32"/>
          <w:szCs w:val="32"/>
        </w:rPr>
        <w:t>启动，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2020年</w:t>
      </w:r>
      <w:r>
        <w:rPr>
          <w:rFonts w:ascii="仿宋" w:hAnsi="仿宋" w:eastAsia="仿宋" w:cs="Times New Roman"/>
          <w:color w:val="000000"/>
          <w:sz w:val="32"/>
          <w:szCs w:val="32"/>
        </w:rPr>
        <w:t>3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月形成</w:t>
      </w:r>
      <w:r>
        <w:rPr>
          <w:rFonts w:ascii="仿宋" w:hAnsi="仿宋" w:eastAsia="仿宋" w:cs="Times New Roman"/>
          <w:color w:val="000000"/>
          <w:sz w:val="32"/>
          <w:szCs w:val="32"/>
        </w:rPr>
        <w:t>初稿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，经</w:t>
      </w:r>
      <w:r>
        <w:rPr>
          <w:rFonts w:ascii="仿宋" w:hAnsi="仿宋" w:eastAsia="仿宋" w:cs="Times New Roman"/>
          <w:color w:val="000000"/>
          <w:sz w:val="32"/>
          <w:szCs w:val="32"/>
        </w:rPr>
        <w:t>药审中心内部各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相关</w:t>
      </w:r>
      <w:r>
        <w:rPr>
          <w:rFonts w:ascii="仿宋" w:hAnsi="仿宋" w:eastAsia="仿宋" w:cs="Times New Roman"/>
          <w:color w:val="000000"/>
          <w:sz w:val="32"/>
          <w:szCs w:val="32"/>
        </w:rPr>
        <w:t>专业征求意见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，形成</w:t>
      </w:r>
      <w:r>
        <w:rPr>
          <w:rFonts w:ascii="仿宋" w:hAnsi="仿宋" w:eastAsia="仿宋" w:cs="Times New Roman"/>
          <w:color w:val="000000"/>
          <w:sz w:val="32"/>
          <w:szCs w:val="32"/>
        </w:rPr>
        <w:t>征求意见稿。</w:t>
      </w:r>
    </w:p>
    <w:p>
      <w:pPr>
        <w:ind w:firstLine="630" w:firstLineChars="196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三、主要内容与说明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本指导原则对帕妥珠单抗注射液生物类似药的</w:t>
      </w:r>
      <w:r>
        <w:rPr>
          <w:rFonts w:ascii="仿宋" w:hAnsi="仿宋" w:eastAsia="仿宋" w:cs="Times New Roman"/>
          <w:color w:val="000000"/>
          <w:sz w:val="32"/>
          <w:szCs w:val="32"/>
        </w:rPr>
        <w:t>临床试验设计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、</w:t>
      </w:r>
      <w:r>
        <w:rPr>
          <w:rFonts w:ascii="仿宋" w:hAnsi="仿宋" w:eastAsia="仿宋" w:cs="Times New Roman"/>
          <w:color w:val="000000"/>
          <w:sz w:val="32"/>
          <w:szCs w:val="32"/>
        </w:rPr>
        <w:t>终点选择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和</w:t>
      </w:r>
      <w:r>
        <w:rPr>
          <w:rFonts w:ascii="仿宋" w:hAnsi="仿宋" w:eastAsia="仿宋" w:cs="Times New Roman"/>
          <w:color w:val="000000"/>
          <w:sz w:val="32"/>
          <w:szCs w:val="32"/>
        </w:rPr>
        <w:t>等效性界值提出建议。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主要有以下</w:t>
      </w:r>
      <w:r>
        <w:rPr>
          <w:rFonts w:ascii="仿宋" w:hAnsi="仿宋" w:eastAsia="仿宋" w:cs="Times New Roman"/>
          <w:color w:val="000000"/>
          <w:sz w:val="32"/>
          <w:szCs w:val="32"/>
        </w:rPr>
        <w:t>部分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在“概述”部分，介绍了原研</w:t>
      </w:r>
      <w:r>
        <w:rPr>
          <w:rFonts w:ascii="仿宋" w:hAnsi="仿宋" w:eastAsia="仿宋" w:cs="Times New Roman"/>
          <w:color w:val="000000"/>
          <w:sz w:val="32"/>
          <w:szCs w:val="32"/>
        </w:rPr>
        <w:t>药品的上市情况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及本指导原则的适用范围及</w:t>
      </w:r>
      <w:r>
        <w:rPr>
          <w:rFonts w:ascii="仿宋" w:hAnsi="仿宋" w:eastAsia="仿宋" w:cs="Times New Roman"/>
          <w:color w:val="000000"/>
          <w:sz w:val="32"/>
          <w:szCs w:val="32"/>
        </w:rPr>
        <w:t>撰写目的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在“帕妥珠</w:t>
      </w:r>
      <w:r>
        <w:rPr>
          <w:rFonts w:ascii="仿宋" w:hAnsi="仿宋" w:eastAsia="仿宋" w:cs="Times New Roman"/>
          <w:color w:val="000000"/>
          <w:sz w:val="32"/>
          <w:szCs w:val="32"/>
        </w:rPr>
        <w:t>单抗生物类似药临床研究策略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”</w:t>
      </w:r>
      <w:r>
        <w:rPr>
          <w:rFonts w:ascii="仿宋" w:hAnsi="仿宋" w:eastAsia="仿宋" w:cs="Times New Roman"/>
          <w:color w:val="000000"/>
          <w:sz w:val="32"/>
          <w:szCs w:val="32"/>
        </w:rPr>
        <w:t>部分，介绍了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开发生物</w:t>
      </w:r>
      <w:r>
        <w:rPr>
          <w:rFonts w:ascii="仿宋" w:hAnsi="仿宋" w:eastAsia="仿宋" w:cs="Times New Roman"/>
          <w:color w:val="000000"/>
          <w:sz w:val="32"/>
          <w:szCs w:val="32"/>
        </w:rPr>
        <w:t>类似药的共性考虑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在“帕妥珠单抗生物类似药临床研究设计要点</w:t>
      </w:r>
      <w:r>
        <w:rPr>
          <w:rFonts w:ascii="仿宋" w:hAnsi="仿宋" w:eastAsia="仿宋" w:cs="Times New Roman"/>
          <w:color w:val="000000"/>
          <w:sz w:val="32"/>
          <w:szCs w:val="32"/>
        </w:rPr>
        <w:t>”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部分</w:t>
      </w:r>
      <w:r>
        <w:rPr>
          <w:rFonts w:ascii="仿宋" w:hAnsi="仿宋" w:eastAsia="仿宋" w:cs="Times New Roman"/>
          <w:color w:val="000000"/>
          <w:sz w:val="32"/>
          <w:szCs w:val="32"/>
        </w:rPr>
        <w:t>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详细介绍</w:t>
      </w:r>
      <w:r>
        <w:rPr>
          <w:rFonts w:ascii="仿宋" w:hAnsi="仿宋" w:eastAsia="仿宋" w:cs="Times New Roman"/>
          <w:color w:val="000000"/>
          <w:sz w:val="32"/>
          <w:szCs w:val="32"/>
        </w:rPr>
        <w:t>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药代</w:t>
      </w:r>
      <w:r>
        <w:rPr>
          <w:rFonts w:ascii="仿宋" w:hAnsi="仿宋" w:eastAsia="仿宋" w:cs="Times New Roman"/>
          <w:color w:val="000000"/>
          <w:sz w:val="32"/>
          <w:szCs w:val="32"/>
        </w:rPr>
        <w:t>动力学比对研究和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临床</w:t>
      </w:r>
      <w:r>
        <w:rPr>
          <w:rFonts w:ascii="仿宋" w:hAnsi="仿宋" w:eastAsia="仿宋" w:cs="Times New Roman"/>
          <w:color w:val="000000"/>
          <w:sz w:val="32"/>
          <w:szCs w:val="32"/>
        </w:rPr>
        <w:t>有效性比对研究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的</w:t>
      </w:r>
      <w:r>
        <w:rPr>
          <w:rFonts w:ascii="仿宋" w:hAnsi="仿宋" w:eastAsia="仿宋" w:cs="Times New Roman"/>
          <w:color w:val="000000"/>
          <w:sz w:val="32"/>
          <w:szCs w:val="32"/>
        </w:rPr>
        <w:t>研究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设计及</w:t>
      </w:r>
      <w:r>
        <w:rPr>
          <w:rFonts w:ascii="仿宋" w:hAnsi="仿宋" w:eastAsia="仿宋" w:cs="Times New Roman"/>
          <w:color w:val="000000"/>
          <w:sz w:val="32"/>
          <w:szCs w:val="32"/>
        </w:rPr>
        <w:t>终点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选择等</w:t>
      </w:r>
      <w:r>
        <w:rPr>
          <w:rFonts w:ascii="仿宋" w:hAnsi="仿宋" w:eastAsia="仿宋" w:cs="Times New Roman"/>
          <w:color w:val="000000"/>
          <w:sz w:val="32"/>
          <w:szCs w:val="32"/>
        </w:rPr>
        <w:t>建议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。</w:t>
      </w:r>
    </w:p>
    <w:p>
      <w:pPr>
        <w:jc w:val="center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140042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7483"/>
    <w:multiLevelType w:val="singleLevel"/>
    <w:tmpl w:val="179574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4539E"/>
    <w:rsid w:val="00051927"/>
    <w:rsid w:val="00056F96"/>
    <w:rsid w:val="00063684"/>
    <w:rsid w:val="00075F16"/>
    <w:rsid w:val="000A3D1E"/>
    <w:rsid w:val="000C42A8"/>
    <w:rsid w:val="000D5644"/>
    <w:rsid w:val="000F22A4"/>
    <w:rsid w:val="00105592"/>
    <w:rsid w:val="001118F7"/>
    <w:rsid w:val="00116607"/>
    <w:rsid w:val="001179D9"/>
    <w:rsid w:val="00132177"/>
    <w:rsid w:val="00136B79"/>
    <w:rsid w:val="00141B5E"/>
    <w:rsid w:val="00145CDD"/>
    <w:rsid w:val="00162337"/>
    <w:rsid w:val="00164A89"/>
    <w:rsid w:val="001777FF"/>
    <w:rsid w:val="00181C2E"/>
    <w:rsid w:val="001A5024"/>
    <w:rsid w:val="001A57A9"/>
    <w:rsid w:val="001C668C"/>
    <w:rsid w:val="001E11E7"/>
    <w:rsid w:val="001F2CCF"/>
    <w:rsid w:val="001F4940"/>
    <w:rsid w:val="00203638"/>
    <w:rsid w:val="00242662"/>
    <w:rsid w:val="0025060E"/>
    <w:rsid w:val="00252786"/>
    <w:rsid w:val="00262D7F"/>
    <w:rsid w:val="00263055"/>
    <w:rsid w:val="002837C8"/>
    <w:rsid w:val="002902BA"/>
    <w:rsid w:val="002A5EE7"/>
    <w:rsid w:val="002D008B"/>
    <w:rsid w:val="002D4CA9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4185B"/>
    <w:rsid w:val="00450E02"/>
    <w:rsid w:val="00454B56"/>
    <w:rsid w:val="00464311"/>
    <w:rsid w:val="00470A88"/>
    <w:rsid w:val="00472C54"/>
    <w:rsid w:val="00480D08"/>
    <w:rsid w:val="00485B27"/>
    <w:rsid w:val="00492C9C"/>
    <w:rsid w:val="004A448E"/>
    <w:rsid w:val="004A5665"/>
    <w:rsid w:val="004A7692"/>
    <w:rsid w:val="004C04DF"/>
    <w:rsid w:val="004C0C38"/>
    <w:rsid w:val="004C1E04"/>
    <w:rsid w:val="004D10B6"/>
    <w:rsid w:val="004D4C7C"/>
    <w:rsid w:val="004D70A5"/>
    <w:rsid w:val="0052309E"/>
    <w:rsid w:val="00532FEE"/>
    <w:rsid w:val="005407A3"/>
    <w:rsid w:val="00541369"/>
    <w:rsid w:val="005623B3"/>
    <w:rsid w:val="0057462B"/>
    <w:rsid w:val="00593563"/>
    <w:rsid w:val="00594B31"/>
    <w:rsid w:val="005A0798"/>
    <w:rsid w:val="005A2C81"/>
    <w:rsid w:val="005A4638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84140"/>
    <w:rsid w:val="006869B2"/>
    <w:rsid w:val="00693BA3"/>
    <w:rsid w:val="006952C5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21303"/>
    <w:rsid w:val="00734E5F"/>
    <w:rsid w:val="00741629"/>
    <w:rsid w:val="00744049"/>
    <w:rsid w:val="00745F67"/>
    <w:rsid w:val="007836AA"/>
    <w:rsid w:val="007841AD"/>
    <w:rsid w:val="00785EEC"/>
    <w:rsid w:val="007877A3"/>
    <w:rsid w:val="00791AB4"/>
    <w:rsid w:val="00797400"/>
    <w:rsid w:val="007C1569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C60E8"/>
    <w:rsid w:val="008D2777"/>
    <w:rsid w:val="008D5151"/>
    <w:rsid w:val="008D76E4"/>
    <w:rsid w:val="008E12FE"/>
    <w:rsid w:val="00920AC1"/>
    <w:rsid w:val="009218D9"/>
    <w:rsid w:val="00933078"/>
    <w:rsid w:val="00942942"/>
    <w:rsid w:val="0094591F"/>
    <w:rsid w:val="00947E8E"/>
    <w:rsid w:val="00952BFC"/>
    <w:rsid w:val="00987B37"/>
    <w:rsid w:val="00993F54"/>
    <w:rsid w:val="009A6713"/>
    <w:rsid w:val="009B19BE"/>
    <w:rsid w:val="009B3F7B"/>
    <w:rsid w:val="009D1816"/>
    <w:rsid w:val="009D72CB"/>
    <w:rsid w:val="009E0239"/>
    <w:rsid w:val="009E663E"/>
    <w:rsid w:val="00A10F3B"/>
    <w:rsid w:val="00A1621D"/>
    <w:rsid w:val="00A32EEA"/>
    <w:rsid w:val="00A60ACC"/>
    <w:rsid w:val="00A66423"/>
    <w:rsid w:val="00A777D4"/>
    <w:rsid w:val="00A91D9A"/>
    <w:rsid w:val="00A956C3"/>
    <w:rsid w:val="00AA4CD3"/>
    <w:rsid w:val="00AB2803"/>
    <w:rsid w:val="00AC57DF"/>
    <w:rsid w:val="00AC67D6"/>
    <w:rsid w:val="00AC7944"/>
    <w:rsid w:val="00AD19CB"/>
    <w:rsid w:val="00AE5239"/>
    <w:rsid w:val="00AE5DB0"/>
    <w:rsid w:val="00AF00ED"/>
    <w:rsid w:val="00B02C4F"/>
    <w:rsid w:val="00B03039"/>
    <w:rsid w:val="00B036A9"/>
    <w:rsid w:val="00B14FD4"/>
    <w:rsid w:val="00B340F7"/>
    <w:rsid w:val="00B353ED"/>
    <w:rsid w:val="00B414A2"/>
    <w:rsid w:val="00B50043"/>
    <w:rsid w:val="00B56EE5"/>
    <w:rsid w:val="00B642F3"/>
    <w:rsid w:val="00B67609"/>
    <w:rsid w:val="00B74498"/>
    <w:rsid w:val="00B869C5"/>
    <w:rsid w:val="00B92073"/>
    <w:rsid w:val="00BA5D4A"/>
    <w:rsid w:val="00BB097F"/>
    <w:rsid w:val="00BB6F10"/>
    <w:rsid w:val="00BD4B08"/>
    <w:rsid w:val="00BE13E7"/>
    <w:rsid w:val="00BE55FC"/>
    <w:rsid w:val="00BF6E87"/>
    <w:rsid w:val="00BF7256"/>
    <w:rsid w:val="00C3116A"/>
    <w:rsid w:val="00C32097"/>
    <w:rsid w:val="00C417E0"/>
    <w:rsid w:val="00C41A55"/>
    <w:rsid w:val="00C52A5B"/>
    <w:rsid w:val="00C54BBE"/>
    <w:rsid w:val="00C7477B"/>
    <w:rsid w:val="00C829EB"/>
    <w:rsid w:val="00C8502F"/>
    <w:rsid w:val="00C85D14"/>
    <w:rsid w:val="00C87F6E"/>
    <w:rsid w:val="00C9139E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25CEB"/>
    <w:rsid w:val="00D34634"/>
    <w:rsid w:val="00D377B5"/>
    <w:rsid w:val="00D47D7F"/>
    <w:rsid w:val="00D51271"/>
    <w:rsid w:val="00D552BA"/>
    <w:rsid w:val="00D74D7E"/>
    <w:rsid w:val="00D91A51"/>
    <w:rsid w:val="00D93B8D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390E"/>
    <w:rsid w:val="00EE5FDB"/>
    <w:rsid w:val="00EF2D70"/>
    <w:rsid w:val="00EF525A"/>
    <w:rsid w:val="00EF54D1"/>
    <w:rsid w:val="00F11BA1"/>
    <w:rsid w:val="00F23423"/>
    <w:rsid w:val="00F3186A"/>
    <w:rsid w:val="00F37A02"/>
    <w:rsid w:val="00F50030"/>
    <w:rsid w:val="00F53995"/>
    <w:rsid w:val="00F653F0"/>
    <w:rsid w:val="00F849EA"/>
    <w:rsid w:val="00F873AF"/>
    <w:rsid w:val="00FA7367"/>
    <w:rsid w:val="00FB4D5F"/>
    <w:rsid w:val="00FD17F1"/>
    <w:rsid w:val="00FF30DC"/>
    <w:rsid w:val="00FF6224"/>
    <w:rsid w:val="7A5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101</TotalTime>
  <ScaleCrop>false</ScaleCrop>
  <LinksUpToDate>false</LinksUpToDate>
  <CharactersWithSpaces>712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2019-06-20T06:25:00Z</dcterms:created>
  <dc:creator>宋媛媛</dc:creator>
  <cp:lastModifiedBy>yim"</cp:lastModifiedBy>
  <cp:lastPrinted>2020-04-03T04:13:00Z</cp:lastPrinted>
  <dcterms:modified xsi:type="dcterms:W3CDTF">2020-04-21T03:19:35Z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